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534D6F" w:rsidP="00534D6F">
      <w:pPr>
        <w:keepNext/>
        <w:jc w:val="center"/>
        <w:rPr>
          <w:rFonts w:ascii="Times New Roman" w:hAnsi="Times New Roman" w:cs="Times New Roman"/>
          <w:b/>
          <w:sz w:val="36"/>
        </w:rPr>
      </w:pPr>
      <w:r>
        <w:rPr>
          <w:rFonts w:ascii="Times New Roman" w:hAnsi="Times New Roman" w:cs="Times New Roman"/>
          <w:b/>
          <w:sz w:val="36"/>
        </w:rPr>
        <w:t>Military, Veterans, and Indian Affairs</w:t>
      </w:r>
    </w:p>
    <w:p w:rsidR="00534D6F" w:rsidRDefault="00534D6F" w:rsidP="00534D6F">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34D6F" w:rsidRDefault="00534D6F" w:rsidP="00534D6F">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20.4: Remove Covenants From Department of Administration Property Sale to Lumbee Tribal Administration/Repeal Lumbee Tribe Trust Fund . (SL 2022-74)</w:t>
      </w:r>
    </w:p>
    <w:p w:rsidR="00534D6F" w:rsidRPr="00534D6F" w:rsidRDefault="00534D6F" w:rsidP="00534D6F">
      <w:pPr>
        <w:pStyle w:val="NormalWeb"/>
        <w:jc w:val="both"/>
        <w:divId w:val="1553540852"/>
        <w:rPr>
          <w:sz w:val="22"/>
        </w:rPr>
      </w:pPr>
      <w:r w:rsidRPr="00534D6F">
        <w:rPr>
          <w:sz w:val="22"/>
        </w:rPr>
        <w:t>Section 20.4 of S.L. 2022-74 removes all restrictive covenants on certain lands owned by the Lumbee Tribe of North Carolina and eliminates the Lumbee Tribe of North Carolina Trust Fund.</w:t>
      </w:r>
    </w:p>
    <w:p w:rsidR="00534D6F" w:rsidRPr="00534D6F" w:rsidRDefault="00534D6F" w:rsidP="00534D6F">
      <w:pPr>
        <w:pStyle w:val="NormalWeb"/>
        <w:jc w:val="both"/>
        <w:divId w:val="1553540852"/>
        <w:rPr>
          <w:sz w:val="22"/>
        </w:rPr>
      </w:pPr>
      <w:r w:rsidRPr="00534D6F">
        <w:rPr>
          <w:sz w:val="22"/>
        </w:rPr>
        <w:t xml:space="preserve">This section became effective July 1, 2022.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Part 42: Finance. (SL 2022-74)</w:t>
      </w:r>
    </w:p>
    <w:p w:rsidR="00534D6F" w:rsidRPr="00534D6F" w:rsidRDefault="00534D6F" w:rsidP="00534D6F">
      <w:pPr>
        <w:pStyle w:val="NormalWeb"/>
        <w:jc w:val="both"/>
        <w:divId w:val="343560990"/>
        <w:rPr>
          <w:sz w:val="22"/>
        </w:rPr>
      </w:pPr>
      <w:r w:rsidRPr="00534D6F">
        <w:rPr>
          <w:sz w:val="22"/>
        </w:rPr>
        <w:t>Part XLII of S.L. 2022-74 makes the following tax-related changes:</w:t>
      </w:r>
    </w:p>
    <w:p w:rsidR="00534D6F" w:rsidRPr="00534D6F" w:rsidRDefault="00534D6F" w:rsidP="00534D6F">
      <w:pPr>
        <w:numPr>
          <w:ilvl w:val="0"/>
          <w:numId w:val="1"/>
        </w:numPr>
        <w:spacing w:before="100" w:beforeAutospacing="1" w:after="100" w:afterAutospacing="1" w:line="240" w:lineRule="auto"/>
        <w:jc w:val="both"/>
        <w:divId w:val="343560990"/>
        <w:rPr>
          <w:rFonts w:ascii="Times New Roman" w:eastAsia="Times New Roman" w:hAnsi="Times New Roman" w:cs="Times New Roman"/>
        </w:rPr>
      </w:pPr>
      <w:r w:rsidRPr="00534D6F">
        <w:rPr>
          <w:rFonts w:ascii="Times New Roman" w:eastAsia="Times New Roman" w:hAnsi="Times New Roman" w:cs="Times New Roman"/>
        </w:rPr>
        <w:t xml:space="preserve">Section 42.1 – Expands the individual income tax exclusion of military retirement pay to include retirement pay for service in all uniformed services. The exclusion enacted in Section 42.1A of S.L. 2021-180 applied only to members of the Armed Forces; this provision extends the exclusion to retirees of the commissioned corps of the National Oceanic and Atmospheric Administration (NOAA) and the U.S. Public Health Service. This provision became effective for taxable years beginning on or after January 1, 2022. </w:t>
      </w:r>
    </w:p>
    <w:p w:rsidR="00534D6F" w:rsidRPr="00534D6F" w:rsidRDefault="00534D6F" w:rsidP="00534D6F">
      <w:pPr>
        <w:numPr>
          <w:ilvl w:val="0"/>
          <w:numId w:val="1"/>
        </w:numPr>
        <w:spacing w:before="100" w:beforeAutospacing="1" w:after="100" w:afterAutospacing="1" w:line="240" w:lineRule="auto"/>
        <w:jc w:val="both"/>
        <w:divId w:val="343560990"/>
        <w:rPr>
          <w:rFonts w:ascii="Times New Roman" w:eastAsia="Times New Roman" w:hAnsi="Times New Roman" w:cs="Times New Roman"/>
        </w:rPr>
      </w:pPr>
      <w:r w:rsidRPr="00534D6F">
        <w:rPr>
          <w:rFonts w:ascii="Times New Roman" w:eastAsia="Times New Roman" w:hAnsi="Times New Roman" w:cs="Times New Roman"/>
        </w:rPr>
        <w:t xml:space="preserve">Section 42.2 –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 This provision became effective July 1, 2022, and applies to purchases made on or after that date. </w:t>
      </w:r>
    </w:p>
    <w:p w:rsidR="00534D6F" w:rsidRPr="00534D6F" w:rsidRDefault="00534D6F" w:rsidP="00534D6F">
      <w:pPr>
        <w:numPr>
          <w:ilvl w:val="0"/>
          <w:numId w:val="1"/>
        </w:numPr>
        <w:spacing w:before="100" w:beforeAutospacing="1" w:after="100" w:afterAutospacing="1" w:line="240" w:lineRule="auto"/>
        <w:jc w:val="both"/>
        <w:divId w:val="343560990"/>
        <w:rPr>
          <w:rFonts w:ascii="Times New Roman" w:eastAsia="Times New Roman" w:hAnsi="Times New Roman" w:cs="Times New Roman"/>
        </w:rPr>
      </w:pPr>
      <w:r w:rsidRPr="00534D6F">
        <w:rPr>
          <w:rFonts w:ascii="Times New Roman" w:eastAsia="Times New Roman" w:hAnsi="Times New Roman" w:cs="Times New Roman"/>
        </w:rPr>
        <w:t xml:space="preserve">Section 42.3 – Transfers a portion of the sales and use tax proceeds, ranging from 2%-6% over three years, to the Highway Fund and Highway Trust Fund for transportation needs. This provision became effective July 1, 2022. </w:t>
      </w:r>
    </w:p>
    <w:p w:rsidR="00534D6F" w:rsidRPr="00534D6F" w:rsidRDefault="00534D6F" w:rsidP="00534D6F">
      <w:pPr>
        <w:numPr>
          <w:ilvl w:val="0"/>
          <w:numId w:val="1"/>
        </w:numPr>
        <w:spacing w:before="100" w:beforeAutospacing="1" w:after="100" w:afterAutospacing="1" w:line="240" w:lineRule="auto"/>
        <w:jc w:val="both"/>
        <w:divId w:val="343560990"/>
        <w:rPr>
          <w:rFonts w:ascii="Times New Roman" w:eastAsia="Times New Roman" w:hAnsi="Times New Roman" w:cs="Times New Roman"/>
        </w:rPr>
      </w:pPr>
      <w:r w:rsidRPr="00534D6F">
        <w:rPr>
          <w:rFonts w:ascii="Times New Roman" w:eastAsia="Times New Roman" w:hAnsi="Times New Roman" w:cs="Times New Roman"/>
        </w:rPr>
        <w:t xml:space="preserve">Section 42.4 – Shifts from annual to quarterly the motor fuel tax refund available for the off-highway use of motor fuel. This provision becomes effective January 1, 2023, and applies to purchases of motor fuel on or after that date.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42.1: Expand Income Tax Exclusion of Military Retirement Pay to NOAA and U.S. Public Health Service Retirees. (SL 2022-74)</w:t>
      </w:r>
    </w:p>
    <w:p w:rsidR="00534D6F" w:rsidRPr="00534D6F" w:rsidRDefault="00534D6F" w:rsidP="00534D6F">
      <w:pPr>
        <w:pStyle w:val="NormalWeb"/>
        <w:jc w:val="both"/>
        <w:divId w:val="2055228211"/>
        <w:rPr>
          <w:sz w:val="22"/>
        </w:rPr>
      </w:pPr>
      <w:r w:rsidRPr="00534D6F">
        <w:rPr>
          <w:sz w:val="22"/>
        </w:rPr>
        <w:t>Section 42.1 of S.L. 2022-74 expands the individual income tax exclusion of military retirement pay to include retirement pay for service in all uniformed services. The exclusion enacted in Section 42.1A of S.L. 2021-180 applied to members of only the Armed Forces; this provision extends the exclusion to retirees of the commissioned corps of the National Oceanic and Atmospheric Administration (NOAA) and the U.S. Public Health Service.</w:t>
      </w:r>
    </w:p>
    <w:p w:rsidR="00534D6F" w:rsidRPr="00534D6F" w:rsidRDefault="00534D6F" w:rsidP="00534D6F">
      <w:pPr>
        <w:pStyle w:val="NormalWeb"/>
        <w:jc w:val="both"/>
        <w:divId w:val="2055228211"/>
        <w:rPr>
          <w:sz w:val="22"/>
        </w:rPr>
      </w:pPr>
      <w:r w:rsidRPr="00534D6F">
        <w:rPr>
          <w:sz w:val="22"/>
        </w:rPr>
        <w:t xml:space="preserve">This section became effective for taxable years beginning on or after January 1, 2022.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2.5: Extending Benefits of Interstate Compact on Educational Opportunity for Military Children. (SL 2022-71)</w:t>
      </w:r>
    </w:p>
    <w:p w:rsidR="00534D6F" w:rsidRPr="00534D6F" w:rsidRDefault="00534D6F" w:rsidP="00534D6F">
      <w:pPr>
        <w:pStyle w:val="NormalWeb"/>
        <w:jc w:val="both"/>
        <w:divId w:val="452165514"/>
        <w:rPr>
          <w:sz w:val="22"/>
        </w:rPr>
      </w:pPr>
      <w:r w:rsidRPr="00534D6F">
        <w:rPr>
          <w:sz w:val="22"/>
        </w:rPr>
        <w:t>Section 2.5 of S.L. 2022-71 provides children of inactive members of the National Guard and military reserves certain intrastate and interstate services related to school transfers if the student's parent is required to move to perform military service-related responsibilities. The required services are similar to those provided to military children under the Interstate Compact on Educational Opportunity for Military Children.</w:t>
      </w:r>
    </w:p>
    <w:p w:rsidR="00534D6F" w:rsidRPr="00534D6F" w:rsidRDefault="00534D6F" w:rsidP="00534D6F">
      <w:pPr>
        <w:pStyle w:val="NormalWeb"/>
        <w:jc w:val="both"/>
        <w:divId w:val="452165514"/>
        <w:rPr>
          <w:sz w:val="22"/>
        </w:rPr>
      </w:pPr>
      <w:r w:rsidRPr="00534D6F">
        <w:rPr>
          <w:sz w:val="22"/>
        </w:rPr>
        <w:t xml:space="preserve">This section became effective July 8, 2022, and applies beginning with the 2022-2023 academic school year.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3.6:  Clarify Eligibility of Disabled Veterans for Patriot Star Family Scholarship Programs. (SL 2022-71)</w:t>
      </w:r>
    </w:p>
    <w:p w:rsidR="00534D6F" w:rsidRPr="00534D6F" w:rsidRDefault="00534D6F" w:rsidP="00534D6F">
      <w:pPr>
        <w:pStyle w:val="NormalWeb"/>
        <w:jc w:val="both"/>
        <w:divId w:val="154080118"/>
        <w:rPr>
          <w:sz w:val="22"/>
        </w:rPr>
      </w:pPr>
      <w:r w:rsidRPr="00534D6F">
        <w:rPr>
          <w:sz w:val="22"/>
        </w:rPr>
        <w:t>Section 3.6 of S.L. 2022-71 clarifies the definition of "eligible disabled veteran" to include veterans who incurred traumatic injuries, wounds, or illness as a member of the Armed Forces while training in preparation for future conflicts if the veteran is receiving compensation of at least 50% as rated by the U.S. Department of Veterans Affairs as a result of those injuries, wounds, or illness.</w:t>
      </w:r>
    </w:p>
    <w:p w:rsidR="00534D6F" w:rsidRPr="00534D6F" w:rsidRDefault="00534D6F" w:rsidP="00534D6F">
      <w:pPr>
        <w:pStyle w:val="NormalWeb"/>
        <w:jc w:val="both"/>
        <w:divId w:val="154080118"/>
        <w:rPr>
          <w:sz w:val="22"/>
        </w:rPr>
      </w:pPr>
      <w:r w:rsidRPr="00534D6F">
        <w:rPr>
          <w:sz w:val="22"/>
        </w:rPr>
        <w:t xml:space="preserve">This section became effective July 1, 2021, and applies to applications for scholarship awards submitted on or after that date.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534D6F" w:rsidRPr="00534D6F" w:rsidRDefault="00534D6F" w:rsidP="00534D6F">
      <w:pPr>
        <w:pStyle w:val="NormalWeb"/>
        <w:jc w:val="both"/>
        <w:divId w:val="1567109676"/>
        <w:rPr>
          <w:sz w:val="22"/>
        </w:rPr>
      </w:pPr>
      <w:r w:rsidRPr="00534D6F">
        <w:rPr>
          <w:sz w:val="22"/>
        </w:rPr>
        <w:t>S.L. 2022-73 does all of the following:</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Revises the qualifications and examination requirements for bail bondsmen and runners. </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Authorizes all Department of Defense special agents to assist State and local law enforcement agencies. </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534D6F" w:rsidRPr="00534D6F" w:rsidRDefault="00534D6F" w:rsidP="00534D6F">
      <w:pPr>
        <w:numPr>
          <w:ilvl w:val="0"/>
          <w:numId w:val="2"/>
        </w:numPr>
        <w:spacing w:before="100" w:beforeAutospacing="1" w:after="100" w:afterAutospacing="1" w:line="240" w:lineRule="auto"/>
        <w:jc w:val="both"/>
        <w:divId w:val="1567109676"/>
        <w:rPr>
          <w:rFonts w:ascii="Times New Roman" w:eastAsia="Times New Roman" w:hAnsi="Times New Roman" w:cs="Times New Roman"/>
        </w:rPr>
      </w:pPr>
      <w:r w:rsidRPr="00534D6F">
        <w:rPr>
          <w:rFonts w:ascii="Times New Roman" w:eastAsia="Times New Roman" w:hAnsi="Times New Roman" w:cs="Times New Roman"/>
        </w:rPr>
        <w:t xml:space="preserve">Makes technical corrections to other legislation. </w:t>
      </w:r>
    </w:p>
    <w:p w:rsidR="00534D6F" w:rsidRPr="00534D6F" w:rsidRDefault="00534D6F" w:rsidP="00534D6F">
      <w:pPr>
        <w:pStyle w:val="NormalWeb"/>
        <w:jc w:val="both"/>
        <w:divId w:val="1567109676"/>
        <w:rPr>
          <w:sz w:val="22"/>
        </w:rPr>
      </w:pPr>
      <w:r w:rsidRPr="00534D6F">
        <w:rPr>
          <w:sz w:val="22"/>
        </w:rPr>
        <w:t xml:space="preserve">This act contains varying effective dates. Please see the full summary for details. </w:t>
      </w:r>
    </w:p>
    <w:p w:rsidR="00534D6F" w:rsidRPr="00534D6F" w:rsidRDefault="00534D6F" w:rsidP="00534D6F">
      <w:pPr>
        <w:keepNext/>
        <w:jc w:val="both"/>
        <w:rPr>
          <w:rFonts w:ascii="Times New Roman" w:hAnsi="Times New Roman" w:cs="Times New Roman"/>
        </w:rPr>
      </w:pPr>
    </w:p>
    <w:p w:rsidR="00534D6F" w:rsidRDefault="00534D6F" w:rsidP="00534D6F">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14: Allow Local Governments to Enter Intergovernmental Support Agreements with Military to Provide Installation-Support Services. (SL 2022-75)</w:t>
      </w:r>
    </w:p>
    <w:p w:rsidR="00534D6F" w:rsidRPr="00534D6F" w:rsidRDefault="00534D6F" w:rsidP="00534D6F">
      <w:pPr>
        <w:pStyle w:val="NormalWeb"/>
        <w:jc w:val="both"/>
        <w:divId w:val="46535875"/>
        <w:rPr>
          <w:sz w:val="22"/>
        </w:rPr>
      </w:pPr>
      <w:r w:rsidRPr="00534D6F">
        <w:rPr>
          <w:sz w:val="22"/>
        </w:rPr>
        <w:t>Section 14 of S.L. 2022-75 allows counties and cities to enter into agreements to provide installation-support with military installations, consistent with federal law.</w:t>
      </w:r>
    </w:p>
    <w:p w:rsidR="00534D6F" w:rsidRPr="00534D6F" w:rsidRDefault="00534D6F" w:rsidP="00534D6F">
      <w:pPr>
        <w:pStyle w:val="NormalWeb"/>
        <w:jc w:val="both"/>
        <w:divId w:val="46535875"/>
        <w:rPr>
          <w:sz w:val="22"/>
        </w:rPr>
      </w:pPr>
      <w:r w:rsidRPr="00534D6F">
        <w:rPr>
          <w:sz w:val="22"/>
        </w:rPr>
        <w:t xml:space="preserve">This section became effective July 12, 2022. </w:t>
      </w:r>
      <w:bookmarkStart w:id="0" w:name="_GoBack"/>
      <w:bookmarkEnd w:id="0"/>
    </w:p>
    <w:sectPr w:rsidR="00534D6F" w:rsidRPr="00534D6F" w:rsidSect="00534D6F">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6F" w:rsidRDefault="00534D6F" w:rsidP="00534D6F">
      <w:pPr>
        <w:spacing w:after="0" w:line="240" w:lineRule="auto"/>
      </w:pPr>
      <w:r>
        <w:separator/>
      </w:r>
    </w:p>
  </w:endnote>
  <w:endnote w:type="continuationSeparator" w:id="0">
    <w:p w:rsidR="00534D6F" w:rsidRDefault="00534D6F" w:rsidP="0053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Default="0053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Pr="00534D6F" w:rsidRDefault="00534D6F" w:rsidP="00534D6F">
    <w:pPr>
      <w:pStyle w:val="Footer"/>
      <w:tabs>
        <w:tab w:val="center" w:pos="4680"/>
        <w:tab w:val="right" w:pos="9360"/>
      </w:tabs>
      <w:rPr>
        <w:rFonts w:ascii="Times New Roman" w:hAnsi="Times New Roman" w:cs="Times New Roman"/>
      </w:rPr>
    </w:pPr>
    <w:r>
      <w:rPr>
        <w:rFonts w:ascii="Times New Roman" w:hAnsi="Times New Roman" w:cs="Times New Roman"/>
      </w:rPr>
      <w:t>[2022] Military, Veterans, and Indian Affairs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1/24/2023 1:24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Default="0053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6F" w:rsidRDefault="00534D6F" w:rsidP="00534D6F">
      <w:pPr>
        <w:spacing w:after="0" w:line="240" w:lineRule="auto"/>
      </w:pPr>
      <w:r>
        <w:separator/>
      </w:r>
    </w:p>
  </w:footnote>
  <w:footnote w:type="continuationSeparator" w:id="0">
    <w:p w:rsidR="00534D6F" w:rsidRDefault="00534D6F" w:rsidP="0053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Default="00534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Default="00534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6F" w:rsidRDefault="0053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A26EE"/>
    <w:multiLevelType w:val="multilevel"/>
    <w:tmpl w:val="85B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90206"/>
    <w:multiLevelType w:val="multilevel"/>
    <w:tmpl w:val="ADC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6F"/>
    <w:rsid w:val="00534D6F"/>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ED72"/>
  <w15:chartTrackingRefBased/>
  <w15:docId w15:val="{2FDAA8F3-D431-4F6A-A989-02D7F39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D6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34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D6F"/>
  </w:style>
  <w:style w:type="paragraph" w:styleId="Footer">
    <w:name w:val="footer"/>
    <w:basedOn w:val="Normal"/>
    <w:link w:val="FooterChar"/>
    <w:uiPriority w:val="99"/>
    <w:unhideWhenUsed/>
    <w:rsid w:val="00534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8577">
      <w:bodyDiv w:val="1"/>
      <w:marLeft w:val="0"/>
      <w:marRight w:val="0"/>
      <w:marTop w:val="0"/>
      <w:marBottom w:val="0"/>
      <w:divBdr>
        <w:top w:val="none" w:sz="0" w:space="0" w:color="auto"/>
        <w:left w:val="none" w:sz="0" w:space="0" w:color="auto"/>
        <w:bottom w:val="none" w:sz="0" w:space="0" w:color="auto"/>
        <w:right w:val="none" w:sz="0" w:space="0" w:color="auto"/>
      </w:divBdr>
      <w:divsChild>
        <w:div w:id="2055228211">
          <w:marLeft w:val="0"/>
          <w:marRight w:val="0"/>
          <w:marTop w:val="0"/>
          <w:marBottom w:val="0"/>
          <w:divBdr>
            <w:top w:val="none" w:sz="0" w:space="0" w:color="auto"/>
            <w:left w:val="none" w:sz="0" w:space="0" w:color="auto"/>
            <w:bottom w:val="none" w:sz="0" w:space="0" w:color="auto"/>
            <w:right w:val="none" w:sz="0" w:space="0" w:color="auto"/>
          </w:divBdr>
        </w:div>
      </w:divsChild>
    </w:div>
    <w:div w:id="354892885">
      <w:bodyDiv w:val="1"/>
      <w:marLeft w:val="0"/>
      <w:marRight w:val="0"/>
      <w:marTop w:val="0"/>
      <w:marBottom w:val="0"/>
      <w:divBdr>
        <w:top w:val="none" w:sz="0" w:space="0" w:color="auto"/>
        <w:left w:val="none" w:sz="0" w:space="0" w:color="auto"/>
        <w:bottom w:val="none" w:sz="0" w:space="0" w:color="auto"/>
        <w:right w:val="none" w:sz="0" w:space="0" w:color="auto"/>
      </w:divBdr>
      <w:divsChild>
        <w:div w:id="46535875">
          <w:marLeft w:val="0"/>
          <w:marRight w:val="0"/>
          <w:marTop w:val="0"/>
          <w:marBottom w:val="0"/>
          <w:divBdr>
            <w:top w:val="none" w:sz="0" w:space="0" w:color="auto"/>
            <w:left w:val="none" w:sz="0" w:space="0" w:color="auto"/>
            <w:bottom w:val="none" w:sz="0" w:space="0" w:color="auto"/>
            <w:right w:val="none" w:sz="0" w:space="0" w:color="auto"/>
          </w:divBdr>
        </w:div>
      </w:divsChild>
    </w:div>
    <w:div w:id="563832684">
      <w:bodyDiv w:val="1"/>
      <w:marLeft w:val="0"/>
      <w:marRight w:val="0"/>
      <w:marTop w:val="0"/>
      <w:marBottom w:val="0"/>
      <w:divBdr>
        <w:top w:val="none" w:sz="0" w:space="0" w:color="auto"/>
        <w:left w:val="none" w:sz="0" w:space="0" w:color="auto"/>
        <w:bottom w:val="none" w:sz="0" w:space="0" w:color="auto"/>
        <w:right w:val="none" w:sz="0" w:space="0" w:color="auto"/>
      </w:divBdr>
      <w:divsChild>
        <w:div w:id="154080118">
          <w:marLeft w:val="0"/>
          <w:marRight w:val="0"/>
          <w:marTop w:val="0"/>
          <w:marBottom w:val="0"/>
          <w:divBdr>
            <w:top w:val="none" w:sz="0" w:space="0" w:color="auto"/>
            <w:left w:val="none" w:sz="0" w:space="0" w:color="auto"/>
            <w:bottom w:val="none" w:sz="0" w:space="0" w:color="auto"/>
            <w:right w:val="none" w:sz="0" w:space="0" w:color="auto"/>
          </w:divBdr>
        </w:div>
      </w:divsChild>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sChild>
        <w:div w:id="343560990">
          <w:marLeft w:val="0"/>
          <w:marRight w:val="0"/>
          <w:marTop w:val="0"/>
          <w:marBottom w:val="0"/>
          <w:divBdr>
            <w:top w:val="none" w:sz="0" w:space="0" w:color="auto"/>
            <w:left w:val="none" w:sz="0" w:space="0" w:color="auto"/>
            <w:bottom w:val="none" w:sz="0" w:space="0" w:color="auto"/>
            <w:right w:val="none" w:sz="0" w:space="0" w:color="auto"/>
          </w:divBdr>
        </w:div>
      </w:divsChild>
    </w:div>
    <w:div w:id="1582638390">
      <w:bodyDiv w:val="1"/>
      <w:marLeft w:val="0"/>
      <w:marRight w:val="0"/>
      <w:marTop w:val="0"/>
      <w:marBottom w:val="0"/>
      <w:divBdr>
        <w:top w:val="none" w:sz="0" w:space="0" w:color="auto"/>
        <w:left w:val="none" w:sz="0" w:space="0" w:color="auto"/>
        <w:bottom w:val="none" w:sz="0" w:space="0" w:color="auto"/>
        <w:right w:val="none" w:sz="0" w:space="0" w:color="auto"/>
      </w:divBdr>
      <w:divsChild>
        <w:div w:id="1567109676">
          <w:marLeft w:val="0"/>
          <w:marRight w:val="0"/>
          <w:marTop w:val="0"/>
          <w:marBottom w:val="0"/>
          <w:divBdr>
            <w:top w:val="none" w:sz="0" w:space="0" w:color="auto"/>
            <w:left w:val="none" w:sz="0" w:space="0" w:color="auto"/>
            <w:bottom w:val="none" w:sz="0" w:space="0" w:color="auto"/>
            <w:right w:val="none" w:sz="0" w:space="0" w:color="auto"/>
          </w:divBdr>
        </w:div>
      </w:divsChild>
    </w:div>
    <w:div w:id="1629553028">
      <w:bodyDiv w:val="1"/>
      <w:marLeft w:val="0"/>
      <w:marRight w:val="0"/>
      <w:marTop w:val="0"/>
      <w:marBottom w:val="0"/>
      <w:divBdr>
        <w:top w:val="none" w:sz="0" w:space="0" w:color="auto"/>
        <w:left w:val="none" w:sz="0" w:space="0" w:color="auto"/>
        <w:bottom w:val="none" w:sz="0" w:space="0" w:color="auto"/>
        <w:right w:val="none" w:sz="0" w:space="0" w:color="auto"/>
      </w:divBdr>
      <w:divsChild>
        <w:div w:id="1553540852">
          <w:marLeft w:val="0"/>
          <w:marRight w:val="0"/>
          <w:marTop w:val="0"/>
          <w:marBottom w:val="0"/>
          <w:divBdr>
            <w:top w:val="none" w:sz="0" w:space="0" w:color="auto"/>
            <w:left w:val="none" w:sz="0" w:space="0" w:color="auto"/>
            <w:bottom w:val="none" w:sz="0" w:space="0" w:color="auto"/>
            <w:right w:val="none" w:sz="0" w:space="0" w:color="auto"/>
          </w:divBdr>
        </w:div>
      </w:divsChild>
    </w:div>
    <w:div w:id="1948078013">
      <w:bodyDiv w:val="1"/>
      <w:marLeft w:val="0"/>
      <w:marRight w:val="0"/>
      <w:marTop w:val="0"/>
      <w:marBottom w:val="0"/>
      <w:divBdr>
        <w:top w:val="none" w:sz="0" w:space="0" w:color="auto"/>
        <w:left w:val="none" w:sz="0" w:space="0" w:color="auto"/>
        <w:bottom w:val="none" w:sz="0" w:space="0" w:color="auto"/>
        <w:right w:val="none" w:sz="0" w:space="0" w:color="auto"/>
      </w:divBdr>
      <w:divsChild>
        <w:div w:id="45216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Company>NCGA</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2023-01-24T18:24:00Z</dcterms:created>
  <dcterms:modified xsi:type="dcterms:W3CDTF">2023-01-24T18:24:00Z</dcterms:modified>
</cp:coreProperties>
</file>